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>Storia curricolo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1"/>
        <w:gridCol w:w="3642"/>
        <w:gridCol w:w="3642"/>
        <w:gridCol w:w="3645"/>
      </w:tblGrid>
      <w:tr>
        <w:trPr/>
        <w:tc>
          <w:tcPr>
            <w:tcW w:w="10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di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orientamento nel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tempo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Riconoscere la funzionalità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dei diversi strumenti (la linea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del tempo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rispetto ad un grafico o a una tabella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 contesti semplici e/o strutturati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collocare nel tempo,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l’ausilio di strumenti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di orientamento, fatti/eventi/fenomeni, soggetti …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qualche strumento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funzionale allo scopo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(tabelle, grafici,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linea del tempo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ad es.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situare sulla linea del tempo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fatti/eventi/fenomeni, soggetti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…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ollocare nel tempo,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con l’ausilio di strumenti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di orientamento, fatti/eventi/fenomeni, soggetti …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strumenti utili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(tabelle, grafici,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linea del tempo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costruirli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consapevolezza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ollocare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nel tempo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fatti/eventi/fenomeni, soggetti …</w:t>
            </w:r>
          </w:p>
        </w:tc>
        <w:tc>
          <w:tcPr>
            <w:tcW w:w="364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Non compare un traguardo specificamente riferito all’orientamento nel tempo. Tuttavia una competenza in tal senso è sottesa ai traguardi altrove indicati.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Si segnala inoltre che, tra gli obiettivi suggeriti dalle Indicazioni nazionali, l’orientamento nel tempo è posto in stretta relazione con quello nello spazio:</w:t>
            </w:r>
          </w:p>
          <w:p>
            <w:pPr>
              <w:pStyle w:val="Contenutotabella"/>
              <w:jc w:val="both"/>
              <w:rPr>
                <w:rFonts w:ascii="Calibri" w:hAnsi="Calibri"/>
                <w:b/>
                <w:b/>
                <w:bCs/>
                <w:i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0"/>
                <w:szCs w:val="20"/>
              </w:rPr>
              <w:t>Organizzazione delle informazioni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- Costruire grafici e mappe spazio-temporali ...</w:t>
            </w:r>
          </w:p>
        </w:tc>
      </w:tr>
      <w:tr>
        <w:trPr/>
        <w:tc>
          <w:tcPr>
            <w:tcW w:w="1092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</w:rPr>
              <w:t>tempo</w:t>
            </w:r>
          </w:p>
          <w:p>
            <w:pPr>
              <w:pStyle w:val="Normal"/>
              <w:jc w:val="both"/>
              <w:rPr>
                <w:rFonts w:ascii="Calibri" w:hAnsi="Calibri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atazione 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seguenti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eventi e fenomeni: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inizio e fine del Medioevo;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inizio e fine dell’Alto Medioevo;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inizio e fine del Basso Medioevo;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nascita dell’Islam;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fondazione del S. R. Impero;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costituzione del S. R. I. Germanico;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le Crociate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(da … a ...)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Cattività avignonese;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Guerra dei Cento Anni;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la caduta dell’impero bizantino.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  <w:u w:val="none"/>
              </w:rPr>
              <w:t>tempo</w:t>
            </w:r>
          </w:p>
          <w:p>
            <w:pPr>
              <w:pStyle w:val="Normal"/>
              <w:jc w:val="both"/>
              <w:rPr>
                <w:rFonts w:ascii="Calibri" w:hAnsi="Calibri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atazione 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seguenti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eventi e fenomeni: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la scoperta dell’America;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la Riforma protestante;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la nascita della monarchia parlamentare inglese;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il consolidamento dell’assolutismo francese;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Rivoluzione industriale;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Rivoluzione americana;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Rivoluzione francese;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’Impero di Napoleone;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 xml:space="preserve">a Restaurazione </w:t>
            </w:r>
            <w:r>
              <w:rPr>
                <w:rFonts w:ascii="Calibri" w:hAnsi="Calibri"/>
                <w:sz w:val="20"/>
                <w:szCs w:val="20"/>
              </w:rPr>
              <w:t>(Congresso di Vienna);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moti italiani e europei;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Guerra di secessione americana.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  <w:u w:val="none"/>
              </w:rPr>
              <w:t>tempo</w:t>
            </w:r>
          </w:p>
          <w:p>
            <w:pPr>
              <w:pStyle w:val="Normal"/>
              <w:jc w:val="both"/>
              <w:rPr>
                <w:rFonts w:ascii="Calibri" w:hAnsi="Calibri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atazione d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seguenti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eventi e fenomeni: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Grande Guerra;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Guerra degli Italiani;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Rivoluzione russa;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la nascita dell’URSS;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r>
              <w:rPr>
                <w:rFonts w:ascii="Calibri" w:hAnsi="Calibri"/>
                <w:sz w:val="20"/>
                <w:szCs w:val="20"/>
              </w:rPr>
              <w:t>marcia su Roma;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nascita dell’URSS;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Hitler al potere;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e Leggi di Norimberga;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e leggi razziali in Italia;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position w:val="0"/>
                <w:sz w:val="20"/>
                <w:sz w:val="20"/>
                <w:szCs w:val="20"/>
                <w:vertAlign w:val="baseline"/>
              </w:rPr>
              <w:t>Seconda</w:t>
            </w:r>
            <w:r>
              <w:rPr>
                <w:rFonts w:ascii="Calibri" w:hAnsi="Calibri"/>
                <w:sz w:val="20"/>
                <w:szCs w:val="20"/>
              </w:rPr>
              <w:t xml:space="preserve"> Guerra Mondiale;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1"/>
                <w:szCs w:val="21"/>
                <w:u w:val="none"/>
              </w:rPr>
              <w:t>l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1"/>
                <w:szCs w:val="21"/>
                <w:u w:val="none"/>
              </w:rPr>
              <w:t>a Resistenza;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l’Italia diventa repubblica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r>
              <w:rPr>
                <w:rFonts w:ascii="Calibri" w:hAnsi="Calibri"/>
                <w:sz w:val="20"/>
                <w:szCs w:val="20"/>
              </w:rPr>
              <w:t>divisione della Germania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r>
              <w:rPr>
                <w:rFonts w:ascii="Calibri" w:hAnsi="Calibri"/>
                <w:sz w:val="20"/>
                <w:szCs w:val="20"/>
              </w:rPr>
              <w:t>Guerra di Corea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Muro di Berlino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Boom economico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Crisi di Cuba</w:t>
            </w:r>
          </w:p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Guerra del Vietnam</w:t>
            </w:r>
          </w:p>
          <w:p>
            <w:pPr>
              <w:pStyle w:val="Normal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le Guerre balcaniche (es.)</w:t>
            </w:r>
          </w:p>
          <w:p>
            <w:pPr>
              <w:pStyle w:val="Normal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1"/>
                <w:szCs w:val="21"/>
                <w:u w:val="none"/>
              </w:rPr>
              <w:t xml:space="preserve">Morte di Falcone e Borsellino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0"/>
                <w:szCs w:val="20"/>
                <w:u w:val="none"/>
              </w:rPr>
              <w:t>(es.)</w:t>
            </w:r>
          </w:p>
        </w:tc>
        <w:tc>
          <w:tcPr>
            <w:tcW w:w="364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di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orientamento nel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tempo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verifica la possibilità di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rappresent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are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tempo (linea del tempo ...);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riproduce e/o costruisce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autonomamente strumenti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3.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cerca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elementi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per orientarsi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nel tempo (relazioni di causa-effetto,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riferimento a dati noti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…).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strumenti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per la rappresentazione del tempo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ne richiede e controlla l’impiego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3.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fa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esaminare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incoerenze nella collocazione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cronologica (inversione nella relazione causa – effetto ...) e sollecita l’utilizzo di f/e/f come riferimento per una corretta collocazione (per es. attraverso esercizi di riordino di f/e/f posti in disordine)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.</w:t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0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nella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conoscenza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storica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omprendere 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principali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oralmente e in forma scritta 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storiche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schemi e riassunti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per sintetizzare informazioni storiche;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4.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acquisire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termini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specific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5.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tilizzar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li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contesti strutturati e/o semplici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conoscere fatti/eventi/fenomeni e aspetti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essenziali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dell’organizzazione politica, economica, sociale e della cultura dei popoli e degli Stati presi in esame;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collocare nello spazio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l'ausilio di strumenti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di orientamento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sulle carte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 mutamenti spaziali;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9.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individuare relazioni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semplici/essenziali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tra fatti/eventi/fenomeni;</w:t>
            </w:r>
          </w:p>
          <w:p>
            <w:pPr>
              <w:pStyle w:val="Contenutotabella"/>
              <w:jc w:val="both"/>
              <w:rPr>
                <w:color w:val="auto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10.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le conoscenze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creare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semplici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racconti a sfondo storico (coerenti rispetto 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elementi essenziali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omprendere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implicite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oralmente e in forma scritta 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storiche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descrittivi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schemi, mappe, tabelle, grafici, riassunti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per sintetizzare informazioni storiche;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arricchire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il lessico specifico;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5.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impiegarlo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in modo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conoscere fatti/eventi/fenomeni e aspetti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essenziali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dell’organizzazione politica, economica, sociale e della cultura dei popoli e degli Stati presi in esame;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collocare nello spazio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con l'ausilio di strumenti di orientamento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i mutamenti spaziali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attraverso l’impiego di carte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9.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relazioni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di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diversa complessità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tra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fatti/eventi/fenomeni;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10.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le conoscenze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creare racconti a sfondo storico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più articolati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(coerenti rispetto 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vari elementi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omprendere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analiticamente tutte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 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storiche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descrittivi,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argomentativi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riformulare 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con soluzioni varie,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selezionando opportunamente le informazioni e organizzandole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con efficacia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secondo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elazioni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(causa/effetto, scopo, tempo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4.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possedere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un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lessico specifico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ampio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5.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impiegarlo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 modo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spontaneo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consapevole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analiticamente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fatti/eventi/fenomeni e aspetti di interesse politico, economico, sociale e culturale del mondo contemporaneo;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collocare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nello spazio;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avere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consapevolezza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dei mutamenti spaziali;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9.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puntualità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relazioni tra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fatti/eventi/fenomeni;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10.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le conoscenze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creare racconti storici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articolati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(coerenti rispetto a un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contesto complesso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).</w:t>
            </w:r>
          </w:p>
        </w:tc>
        <w:tc>
          <w:tcPr>
            <w:tcW w:w="3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Espone oralmente e con scritture -anche digitali- le conoscenze storiche acquisite operando collegamenti e argomentando le proprie riflessioni.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Usa le conoscenze e le abilità per orientarsi nella complessità del presente, comprende opinioni e culture diverse, capisce i problemi fondamentali del mondo contemporaneo.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Comprende aspetti, processi e avvenimenti fondamentali della storia italiana, dalle forme di insediamento e di potere medievali alla formazione dello stato unitario fino alla nascita della Repubblica, anche con possibilità di aperture e confronti con il mondo antico.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Conosce aspetti e processi fondamentali della storia europea medievale, moderna e contemporanea anche con possibilità di aperture e confronti con il mondo antico.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Conosce aspetti e processi fondamentali della storia mondiale, dalla civilizzazione neolitica alla rivoluzione industriale alla globalizzazione.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Conosce aspetti e processi essenziali della storia del suo ambiente.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Conosce aspetti del patrimonio culturale, italiano e dell’umanità, e li sa mettere in relazione con i fenomeni storici studiati.</w:t>
            </w:r>
          </w:p>
        </w:tc>
      </w:tr>
      <w:tr>
        <w:trPr/>
        <w:tc>
          <w:tcPr>
            <w:tcW w:w="1092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fatti/eventi/fenomeni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</w:rPr>
              <w:t>spazio, soggetti, relazioni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contesto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</w:t>
            </w:r>
            <w:r>
              <w:rPr>
                <w:rFonts w:ascii="Calibri" w:hAnsi="Calibri"/>
                <w:sz w:val="22"/>
                <w:szCs w:val="22"/>
              </w:rPr>
              <w:t>fine</w:t>
            </w:r>
            <w:r>
              <w:rPr>
                <w:rFonts w:ascii="Calibri" w:hAnsi="Calibri"/>
                <w:sz w:val="22"/>
                <w:szCs w:val="22"/>
              </w:rPr>
              <w:t xml:space="preserve"> dell’Impero romano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migrazioni barbariche, regni romano-germanici ...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L’impero bizantino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Aspetti socio-economici dell’Europa alto-medievale (città, demografia, campagna ...)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Il cristianesimo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Chiesa di Roma, monachesimo, </w:t>
            </w:r>
            <w:r>
              <w:rPr>
                <w:rFonts w:ascii="Calibri" w:hAnsi="Calibri"/>
                <w:sz w:val="22"/>
                <w:szCs w:val="22"/>
              </w:rPr>
              <w:t>movimenti eretici)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 xml:space="preserve">’Islam </w:t>
            </w:r>
            <w:r>
              <w:rPr>
                <w:rFonts w:ascii="Calibri" w:hAnsi="Calibri"/>
                <w:sz w:val="22"/>
                <w:szCs w:val="22"/>
              </w:rPr>
              <w:t>e l</w:t>
            </w:r>
            <w:r>
              <w:rPr>
                <w:rFonts w:ascii="Calibri" w:hAnsi="Calibri"/>
                <w:sz w:val="22"/>
                <w:szCs w:val="22"/>
              </w:rPr>
              <w:t>’Impero arabo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l Sacro romano Impero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ultime invasioni (Saraceni, Ungari, Vichinghi)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Aspetti socio-economici dell’Europa feudale (economia curtense, i tre ordini ...)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l Sacro romano Impero </w:t>
            </w:r>
            <w:r>
              <w:rPr>
                <w:rFonts w:ascii="Calibri" w:hAnsi="Calibri"/>
                <w:sz w:val="22"/>
                <w:szCs w:val="22"/>
              </w:rPr>
              <w:t>germanico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 rapporto tra</w:t>
            </w:r>
            <w:r>
              <w:rPr>
                <w:rFonts w:ascii="Calibri" w:hAnsi="Calibri"/>
                <w:sz w:val="22"/>
                <w:szCs w:val="22"/>
              </w:rPr>
              <w:t xml:space="preserve"> Chiesa </w:t>
            </w:r>
            <w:r>
              <w:rPr>
                <w:rFonts w:ascii="Calibri" w:hAnsi="Calibri"/>
                <w:sz w:val="22"/>
                <w:szCs w:val="22"/>
              </w:rPr>
              <w:t>e Impero (</w:t>
            </w:r>
            <w:r>
              <w:rPr>
                <w:rFonts w:ascii="Calibri" w:hAnsi="Calibri"/>
                <w:sz w:val="22"/>
                <w:szCs w:val="22"/>
              </w:rPr>
              <w:t>la lotta per le investiture ...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rinascita del Mille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Comuni in Italia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città marinare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crociate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 scontro tra Impero e Comuni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crisi del Trecento (carestie ed epidemie …)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a nascita delle monarchie nazionali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Guerra dei Cent’anni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Gli Stati regionali italiani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caduta dell’Impero bizantino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 Rinascimento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fatti/eventi/fenomeni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</w:rPr>
              <w:t>spazio, soggetti, relazioni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contesto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esplorazioni geografiche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Il </w:t>
            </w:r>
            <w:r>
              <w:rPr>
                <w:rFonts w:ascii="Calibri" w:hAnsi="Calibri"/>
                <w:sz w:val="22"/>
                <w:szCs w:val="22"/>
              </w:rPr>
              <w:t xml:space="preserve">Nuovo Mondo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civiltà precolombiane, </w:t>
            </w:r>
            <w:r>
              <w:rPr>
                <w:rFonts w:ascii="Calibri" w:hAnsi="Calibri"/>
                <w:sz w:val="22"/>
                <w:szCs w:val="22"/>
              </w:rPr>
              <w:t xml:space="preserve">scoperta, </w:t>
            </w:r>
            <w:r>
              <w:rPr>
                <w:rFonts w:ascii="Calibri" w:hAnsi="Calibri"/>
                <w:sz w:val="22"/>
                <w:szCs w:val="22"/>
              </w:rPr>
              <w:t>conquista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Riforma protestante e la Controriforma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L’intolleranza religiosa in Europa (La caccia alle streghe, Giordano Bruno, Galileo Galilei …)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Imperi e regni europei (</w:t>
            </w:r>
            <w:r>
              <w:rPr>
                <w:rFonts w:ascii="Calibri" w:hAnsi="Calibri"/>
                <w:sz w:val="22"/>
                <w:szCs w:val="22"/>
              </w:rPr>
              <w:t>Carlo V, Filippo II, Elisabetta I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 guerre di religione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rivoluzione scientifica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monarchie europee (</w:t>
            </w:r>
            <w:r>
              <w:rPr>
                <w:rFonts w:ascii="Calibri" w:hAnsi="Calibri"/>
                <w:sz w:val="22"/>
                <w:szCs w:val="22"/>
              </w:rPr>
              <w:t>assolutismo, mo</w:t>
            </w:r>
            <w:r>
              <w:rPr>
                <w:rFonts w:ascii="Calibri" w:hAnsi="Calibri"/>
                <w:sz w:val="22"/>
                <w:szCs w:val="22"/>
              </w:rPr>
              <w:t>dello</w:t>
            </w:r>
            <w:r>
              <w:rPr>
                <w:rFonts w:ascii="Calibri" w:hAnsi="Calibri"/>
                <w:sz w:val="22"/>
                <w:szCs w:val="22"/>
              </w:rPr>
              <w:t xml:space="preserve"> parlamentare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L’Illuminismo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Rivoluzione industriale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Rivoluzione americana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Rivoluzione francese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L’Impero di Napoleone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Restaurazione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rivoluzioni in Europa e il Risorgimento italiano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Guerra di secessione americana</w:t>
            </w:r>
          </w:p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  <w:t>Il colonialismo europeo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fatti/eventi/fenomeni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sintassi: </w:t>
            </w:r>
            <w:r>
              <w:rPr>
                <w:rFonts w:ascii="Calibri" w:hAnsi="Calibri"/>
                <w:b/>
                <w:bCs/>
                <w:i/>
                <w:iCs/>
                <w:smallCaps/>
                <w:sz w:val="22"/>
                <w:szCs w:val="22"/>
              </w:rPr>
              <w:t>spazio, soggetti, relazioni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contesto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Le tensioni europee e le alleanze contrapposte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Grande guerra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Rivoluzione del 1917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guerra civile e la nascita dell’URSS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Regimi autoritari in Europa: Mussolini e il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ventennio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fascista; la Germania nazista e la persecuzione degli Ebrei; l’URSS staliniana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Seconda guerra mondiale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Guerra fredda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decolonizzazione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L’Italia repubblicana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La crisi del Comunismo e la caduta del Muro di Berlino</w:t>
            </w:r>
          </w:p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1"/>
                <w:szCs w:val="21"/>
                <w:u w:val="none"/>
              </w:rPr>
              <w:t>Aspetti e problemi del mondo contemporaneo (l’instabilità del Medio Oriente, il fondamentalismo islamico, il terrorismo, le organizzazioni criminali ...)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nella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conoscenza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storica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legge (attenzione al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l’organizzazione sintattica,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l lessico,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la coerenza con il titolo,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le conoscenze pregresse …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racconta, espone ...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seleziona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elementi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salienti 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li sintetizza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schem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aticamente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impiega strumenti (schemi, mappe …) per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espo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rr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 argomenti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highlight w:val="white"/>
                <w:u w:val="none"/>
              </w:rPr>
              <w:t xml:space="preserve">4./5.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highlight w:val="white"/>
                <w:u w:val="none"/>
              </w:rPr>
              <w:t>svolge attività di riflessione linguistica 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di ricerca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d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izionario …), utilizza i termini specifici in esposizioni libere e/o strutturate;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6.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collabora alla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progetta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del lavoro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attraverso la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consulta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del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l’indice;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6.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adatta l’attività alla varietà degli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strumenti di informazione: legge, osserva, guarda, ascolta, analizza, confronta ...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7.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svolge esercizi e attività di impiego delle carte (verifica di toponimi e confini politici …);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8.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le confronta e osserva cambiamenti;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9.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cerca le relazioni tra i fatti, le rappresenta (schemi ...), verifica come esprimerle verbalmente;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9.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le chiarisce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highlight w:val="white"/>
                <w:u w:val="none"/>
              </w:rPr>
              <w:t>supportando la lettura del testo espositivo con quella di altri narrativi o la visione di film;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legge racconti storici;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individua elementi per contestualizzare la vicenda (indicazioni cronologiche, spazi significativi, personaggi storici, riferimenti a f/e/f storici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segue procedure di ideazione e produzione letteraria;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highlight w:val="white"/>
                <w:u w:val="none"/>
              </w:rPr>
              <w:t>10.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highlight w:val="white"/>
                <w:u w:val="none"/>
              </w:rPr>
              <w:t xml:space="preserve"> impiega testi noti come modello.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interrompe la lettura del testo per chiedere spiegazione della parte letta 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accertare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il livello di comprensione;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tipologie testuali diverse,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anche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personalmente prodotte, come modelli di comunicazione di notizie storiche;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orienta la selezione delle informazioni (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cosa, perché, quando, dove)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 le organizza in schemi prodotti sulla lavagna;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richiede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l’utilizzo di schemi e tabelle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racco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lta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del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le informazioni;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attività di riformulazione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sintetica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anche fornendo modelli;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highlight w:val="white"/>
                <w:u w:val="none"/>
              </w:rPr>
              <w:t xml:space="preserve">4./5.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chiede di individuare i termini specifici, di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ipotizzarne il significato in base alla forma e al contesto,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di fornirne la spiegazione attraverso l’impiego del dizionario, di collocarli in esercizi finalizzati 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rispost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chius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, multipl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, apert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…), di usarli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in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esposizion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strutturate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(per es. attraverso la richiesta di un riassunto della lezione che impieghi termini dati …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)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6.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la lettura dell’indice e orienta la selezione dei contenuti dell’Uda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6.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propone mezzi diversi di informazione storica (testi letterari, film, internet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6.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guida l’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uso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sollecitando l’individuazione di relazioni con gli argomenti studiati sul manuale;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6.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costruisce sintesi con gli alunni invitandoli a interventi di completamento;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 xml:space="preserve">7.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richiama l’attenzione sulle carte presenti sul manuale e in aula chiedendone e controllandone l’uso;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8.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il confronto di carte relative a differenti periodi storici;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9.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assegna esercizi di individuazione di relazioni;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9.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chiede di rappresentarle con schemi e di individuare nessi appropriati ad esprimerle;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9.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le chiarisce attraverso differenti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la lettura di racconti storici;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richiama l’attenzione sugli elementi caratteristici (struttura, contenuto ...);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 xml:space="preserve">10.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fornisce tracce guida per la produzione letteraria.</w:t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0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nella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ricerca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storica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Riconoscere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qualche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font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utile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la ricerca;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/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comprendere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l’informazione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di fonti semplici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(narrative, materiali, orali)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seguire procedure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ricavare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alcuni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 svolgere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semplici considerazioni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5.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organizzare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testi semplici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storiche acquisite;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documentarsi impiegando procedure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suggerite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cercare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semplici riferimenti spazio-temporali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inquadrare contenuti narrati da un racconto o da un film;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v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alutare l’attendibilità:</w:t>
            </w:r>
          </w:p>
          <w:p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onfrontare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almeno due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documenti riferiti al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lo stesso tema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individuandone analogie e differenze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esplicite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d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istinguere in un testo elementi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evidente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inven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altri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storicamente ricostruiti;</w:t>
            </w:r>
          </w:p>
          <w:p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parti informative e momenti di interpretazione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esplicita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il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messaggio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(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cosa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)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dell’autore;</w:t>
            </w:r>
          </w:p>
          <w:p>
            <w:pPr>
              <w:pStyle w:val="Contenutotabell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nella modalità di presentazione dei fatti la possibilità di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esprimere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un’ipotesi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sulla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posizione sociale dell’autore e sul destinatario.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diverse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fonti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la ricerca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documentarie, iconografiche, narrative, materiali, orali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, digitali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elezionare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la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più adeguata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allo scopo;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comprenderne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l’informazione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ricavare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argomenta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5.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organizzare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gradualmente più complessi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storiche acquisite;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documentarsi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in modo autonomo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su fatti, eventi e fenomeni storici;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ostruire un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contesto essenziale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quando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dove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soggetti storici rilevanti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 per inquadrare contenuti narrati da un racconto o da un film;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v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alutare l’attendibilità:</w:t>
            </w:r>
          </w:p>
          <w:p>
            <w:pPr>
              <w:pStyle w:val="Contenutotabella"/>
              <w:numPr>
                <w:ilvl w:val="0"/>
                <w:numId w:val="3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onfrontare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più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documenti riferiti al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lo stesso tema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individuandone 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analogie e le differenze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numPr>
                <w:ilvl w:val="0"/>
                <w:numId w:val="3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d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istinguere in un testo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elementi inventati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altri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storicamente ricostruiti;</w:t>
            </w:r>
          </w:p>
          <w:p>
            <w:pPr>
              <w:pStyle w:val="Contenutotabella"/>
              <w:numPr>
                <w:ilvl w:val="0"/>
                <w:numId w:val="3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riconoscere parti informative e momenti di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interpretazione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numPr>
                <w:ilvl w:val="0"/>
                <w:numId w:val="3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iconoscere l’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intenzione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(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cosa e perché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con cui il testo è stato prodotto;</w:t>
            </w:r>
          </w:p>
          <w:p>
            <w:pPr>
              <w:pStyle w:val="Contenutotabella"/>
              <w:numPr>
                <w:ilvl w:val="0"/>
                <w:numId w:val="3"/>
              </w:num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esprimere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ipotesi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sulla situazione dell’autore di una fonte (posizione sociale, destinazione dell’opera …) in base alle modalità di presentazione dei fatti.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fonti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la ricerca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documentarie, iconografiche, narrative, materiali, orali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, digitali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elezionar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secondo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funzionalità e scopo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comprenderne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analiticamente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l’informazione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consapevolezza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ricavare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dati e notizie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anche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implicite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argomenta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5.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organizzare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utili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in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coesi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coerenti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,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esprimendo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diverse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relazioni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(causa/effetto, scopo, tempo …)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attraverso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nessi pertinenti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6.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documentarsi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 modo autonomo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su fatti, eventi e fenomeni storici;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7.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ostruire un contesto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articolato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quando, dove, soggetti storici rilevanti, eventi, fatti e fenomeni in atto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 per inquadrare con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precisione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contenuti narrati da un racconto o da un film;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8.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v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alutare l’attendibilità:</w:t>
            </w:r>
          </w:p>
          <w:p>
            <w:pPr>
              <w:pStyle w:val="Contenutotabella"/>
              <w:numPr>
                <w:ilvl w:val="0"/>
                <w:numId w:val="4"/>
              </w:num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onfrontare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analiticamente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fonti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divers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sullo stesso tema;</w:t>
            </w:r>
          </w:p>
          <w:p>
            <w:pPr>
              <w:pStyle w:val="Contenutotabella"/>
              <w:numPr>
                <w:ilvl w:val="0"/>
                <w:numId w:val="4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d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istinguere in un testo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gli elementi inventati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da quelli storicamente ricostruiti;</w:t>
            </w:r>
          </w:p>
          <w:p>
            <w:pPr>
              <w:pStyle w:val="Contenutotabella"/>
              <w:numPr>
                <w:ilvl w:val="0"/>
                <w:numId w:val="4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costruire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l’informazione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distinguendo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dall’interpretazione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numPr>
                <w:ilvl w:val="0"/>
                <w:numId w:val="4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iconoscere l’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intenzione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(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cosa e perché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con cui il testo è stato prodotto;</w:t>
            </w:r>
          </w:p>
          <w:p>
            <w:pPr>
              <w:pStyle w:val="Contenutotabella"/>
              <w:numPr>
                <w:ilvl w:val="0"/>
                <w:numId w:val="4"/>
              </w:num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esprimere ipotesi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circostanziate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sulla situazione dell’autore di una fonte in base alle modalità di presentazione dei fatti.</w:t>
            </w:r>
          </w:p>
        </w:tc>
        <w:tc>
          <w:tcPr>
            <w:tcW w:w="3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L’alunno si informa in modo autonomo su fatti e problemi storici anche mediante l’uso di risorse digitali.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Produce informazioni storiche con fonti di vario genere -anche digitali- e le sa organizzare in testi.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Comprende testi storici e li sa rielaborare con un personale metodo di studio.</w:t>
            </w:r>
          </w:p>
        </w:tc>
      </w:tr>
      <w:tr>
        <w:trPr/>
        <w:tc>
          <w:tcPr>
            <w:tcW w:w="1092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intenzionalità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contesto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Fonti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non vincolant</w:t>
            </w:r>
            <w:r>
              <w:rPr>
                <w:rFonts w:ascii="Calibri" w:hAnsi="Calibri"/>
                <w:sz w:val="21"/>
                <w:szCs w:val="21"/>
              </w:rPr>
              <w:t>i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per tipologia e contenuto</w:t>
            </w:r>
            <w:r>
              <w:rPr>
                <w:rFonts w:ascii="Calibri" w:hAnsi="Calibri"/>
                <w:sz w:val="21"/>
                <w:szCs w:val="21"/>
              </w:rPr>
              <w:t>, ma selezionat</w:t>
            </w:r>
            <w:r>
              <w:rPr>
                <w:rFonts w:ascii="Calibri" w:hAnsi="Calibri"/>
                <w:sz w:val="21"/>
                <w:szCs w:val="21"/>
              </w:rPr>
              <w:t>e</w:t>
            </w:r>
            <w:r>
              <w:rPr>
                <w:rFonts w:ascii="Calibri" w:hAnsi="Calibri"/>
                <w:sz w:val="21"/>
                <w:szCs w:val="21"/>
              </w:rPr>
              <w:t xml:space="preserve"> in base a</w:t>
            </w:r>
            <w:r>
              <w:rPr>
                <w:rFonts w:ascii="Calibri" w:hAnsi="Calibri"/>
                <w:sz w:val="21"/>
                <w:szCs w:val="21"/>
              </w:rPr>
              <w:t>lla pertinenza (</w:t>
            </w:r>
            <w:r>
              <w:rPr>
                <w:rFonts w:ascii="Calibri" w:hAnsi="Calibri"/>
                <w:sz w:val="21"/>
                <w:szCs w:val="21"/>
              </w:rPr>
              <w:t>relazion</w:t>
            </w:r>
            <w:r>
              <w:rPr>
                <w:rFonts w:ascii="Calibri" w:hAnsi="Calibri"/>
                <w:sz w:val="21"/>
                <w:szCs w:val="21"/>
              </w:rPr>
              <w:t>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con argomenti disciplinari, </w:t>
            </w:r>
            <w:r>
              <w:rPr>
                <w:rFonts w:ascii="Calibri" w:hAnsi="Calibri"/>
                <w:sz w:val="21"/>
                <w:szCs w:val="21"/>
              </w:rPr>
              <w:t>interdisciplinari</w:t>
            </w:r>
            <w:r>
              <w:rPr>
                <w:rFonts w:ascii="Calibri" w:hAnsi="Calibri"/>
                <w:sz w:val="21"/>
                <w:szCs w:val="21"/>
              </w:rPr>
              <w:t>) 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a </w:t>
            </w:r>
            <w:r>
              <w:rPr>
                <w:rFonts w:ascii="Calibri" w:hAnsi="Calibri"/>
                <w:sz w:val="21"/>
                <w:szCs w:val="21"/>
              </w:rPr>
              <w:t>valutazioni del docente misurate su caratteristiche della classe, ipotesi di lavoro ecc.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intenzionalità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contesto</w:t>
            </w:r>
          </w:p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Fonti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non vincolant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per tipologia e contenuto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, ma selezionat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in base 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lla pertinenza 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relazion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con argomenti disciplinari,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interdisciplinari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) 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valutazioni del docente misurate su caratteristiche della classe, ipotesi di lavoro ecc.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intenzionalità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contesto</w:t>
            </w:r>
          </w:p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Fonti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non vincolant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per tipologia e contenuto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, ma selezionat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in base 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lla pertinenza 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relazion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con argomenti disciplinari,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interdisciplinari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) 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valutazioni del docente misurate su caratteristiche della classe, ipotesi di lavoro ecc.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nella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ricerca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storica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accosta lo studio attraverso l’uso di fonti diverse da cui possa ricavare notizie, conferme, incongruenze con informazioni note ...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ne valuta la convenienza rispetto allo scopo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considera gli elementi utili alla comprensione (struttura, linguaggio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comunica conoscenze e argomentazioni affidandosi alla fonte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svolge esercizi di riformulazione finalizzati all’organizzazione corretta dei dati;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6.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cerca risposta a interrogativi posti durante l’attività in classe;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7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investe conoscenze note e procedure di ricerca per inquadrare correttamente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la fonte e le sue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informazioni;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8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svolge operazioni utili alla verifica dell’attendibilità (confronto di fonti, ricerca di autori e destinatari, modi dell’informazione …), sviluppa ed esprime un’opinione personale.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occasioni di ricerca per costruire, verificare, approfondire conoscenze, dare risposta a interrogativi e curiosità ...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  <w:highlight w:val="red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fa considerare la varietà delle fonti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 delle informazioni che se ne possono derivare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attività di analisi e comprensione (domande sul testo ...)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assegna esercizi di reperimento di dati diretti e indiretti a completamento delle conoscenze e/o a sostegno di tesi;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esercizi di riformulazione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guidata (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isol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amento di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dati essenziali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ed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organizza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secondo relazioni corrette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ventualmente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forn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endo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modelli;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6.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fa annotare domande che emerg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no dalle lezioni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suggerendo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di ricercarne la risposta attraverso la consultazione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guidata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di fonti;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richiede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 regolarità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la contestualizzazione delle fonti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 delle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informazion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guida all’individuazione di elementi utili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 inquadrare la vicenda di un racconto o di un film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(riferimenti cronologici, geografici, personaggi storici …);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8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sposta l’attenzione dal risultato al processo che l’ha prodotto inducendo domande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(modalità dell’informazione, attendibilità, disponibilità di strumenti di verifica, conclusione …).</w:t>
            </w:r>
          </w:p>
        </w:tc>
      </w:tr>
    </w:tbl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  <w:smallCaps/>
        </w:rPr>
      </w:pPr>
      <w:r>
        <w:rPr>
          <w:rFonts w:ascii="Calibri" w:hAnsi="Calibri"/>
          <w:b/>
          <w:bCs/>
          <w:smallCaps/>
        </w:rPr>
        <w:t>Rubrica valutativa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3"/>
      </w:tblGrid>
      <w:tr>
        <w:trPr/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Criteri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(in base a cosa...)</w:t>
            </w:r>
          </w:p>
          <w:p>
            <w:pPr>
              <w:pStyle w:val="Contenutotabella"/>
              <w:jc w:val="both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indicatori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(elementi osservabili)</w:t>
            </w:r>
          </w:p>
        </w:tc>
        <w:tc>
          <w:tcPr>
            <w:tcW w:w="127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livelli</w:t>
            </w:r>
          </w:p>
        </w:tc>
      </w:tr>
      <w:tr>
        <w:trPr/>
        <w:tc>
          <w:tcPr>
            <w:tcW w:w="18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Avanzato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Intermedio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Base</w:t>
            </w:r>
          </w:p>
        </w:tc>
        <w:tc>
          <w:tcPr>
            <w:tcW w:w="36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Iniziale/non autonomo</w:t>
            </w:r>
          </w:p>
        </w:tc>
      </w:tr>
      <w:tr>
        <w:trPr/>
        <w:tc>
          <w:tcPr>
            <w:tcW w:w="18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Pienamente raggiunto </w:t>
            </w:r>
            <w:r>
              <w:rPr>
                <w:rFonts w:ascii="Calibri" w:hAnsi="Calibri"/>
                <w:smallCaps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aggiunto </w:t>
            </w:r>
            <w:r>
              <w:rPr>
                <w:rFonts w:ascii="Calibri" w:hAnsi="Calibri"/>
                <w:smallCaps/>
                <w:sz w:val="20"/>
                <w:szCs w:val="20"/>
              </w:rPr>
              <w:t>9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Medio-alto 8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Medio 7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orientamento nel tempo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impiego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degli strumenti,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orientamento anche in autonomia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icuro,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utonomo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icuro </w:t>
            </w:r>
            <w:r>
              <w:rPr>
                <w:rFonts w:ascii="Calibri" w:hAnsi="Calibri"/>
                <w:sz w:val="20"/>
                <w:szCs w:val="20"/>
              </w:rPr>
              <w:t>e quasi sempre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iscreta</w:t>
            </w:r>
            <w:r>
              <w:rPr>
                <w:rFonts w:ascii="Calibri" w:hAnsi="Calibri"/>
                <w:sz w:val="20"/>
                <w:szCs w:val="20"/>
              </w:rPr>
              <w:t>mente</w:t>
            </w:r>
            <w:r>
              <w:rPr>
                <w:rFonts w:ascii="Calibri" w:hAnsi="Calibri"/>
                <w:sz w:val="20"/>
                <w:szCs w:val="20"/>
              </w:rPr>
              <w:t xml:space="preserve"> autonom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nel</w:t>
            </w:r>
            <w:r>
              <w:rPr>
                <w:rFonts w:ascii="Calibri" w:hAnsi="Calibri"/>
                <w:sz w:val="20"/>
                <w:szCs w:val="20"/>
              </w:rPr>
              <w:t>la</w:t>
            </w:r>
            <w:r>
              <w:rPr>
                <w:rFonts w:ascii="Calibri" w:hAnsi="Calibri"/>
                <w:sz w:val="20"/>
                <w:szCs w:val="20"/>
              </w:rPr>
              <w:t xml:space="preserve"> maggior parte </w:t>
            </w:r>
            <w:r>
              <w:rPr>
                <w:rFonts w:ascii="Calibri" w:hAnsi="Calibri"/>
                <w:sz w:val="20"/>
                <w:szCs w:val="20"/>
              </w:rPr>
              <w:t>dei casi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guidato da</w:t>
            </w:r>
            <w:r>
              <w:rPr>
                <w:rFonts w:ascii="Calibri" w:hAnsi="Calibri"/>
                <w:sz w:val="20"/>
                <w:szCs w:val="20"/>
              </w:rPr>
              <w:t xml:space="preserve"> strumenti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>
              <w:rPr>
                <w:rFonts w:ascii="Calibri" w:hAnsi="Calibri"/>
                <w:sz w:val="20"/>
                <w:szCs w:val="20"/>
              </w:rPr>
              <w:t xml:space="preserve"> buona parte d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</w:rPr>
              <w:t>casi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 xml:space="preserve">uidato, </w:t>
            </w:r>
            <w:r>
              <w:rPr>
                <w:rFonts w:ascii="Calibri" w:hAnsi="Calibri"/>
                <w:sz w:val="20"/>
                <w:szCs w:val="20"/>
              </w:rPr>
              <w:t>corretto in</w:t>
            </w:r>
            <w:r>
              <w:rPr>
                <w:rFonts w:ascii="Calibri" w:hAnsi="Calibri"/>
                <w:sz w:val="20"/>
                <w:szCs w:val="20"/>
              </w:rPr>
              <w:t xml:space="preserve"> parte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olo guidato, 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>
              <w:rPr>
                <w:rFonts w:ascii="Calibri" w:hAnsi="Calibri"/>
                <w:sz w:val="20"/>
                <w:szCs w:val="20"/>
              </w:rPr>
              <w:t xml:space="preserve"> pochi </w:t>
            </w:r>
            <w:r>
              <w:rPr>
                <w:rFonts w:ascii="Calibri" w:hAnsi="Calibri"/>
                <w:sz w:val="20"/>
                <w:szCs w:val="20"/>
              </w:rPr>
              <w:t>casi, incerto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ifficolt</w:t>
            </w:r>
            <w:r>
              <w:rPr>
                <w:rFonts w:ascii="Calibri" w:hAnsi="Calibri"/>
                <w:sz w:val="20"/>
                <w:szCs w:val="20"/>
              </w:rPr>
              <w:t>oso</w:t>
            </w:r>
            <w:r>
              <w:rPr>
                <w:rFonts w:ascii="Calibri" w:hAnsi="Calibri"/>
                <w:sz w:val="20"/>
                <w:szCs w:val="20"/>
              </w:rPr>
              <w:t xml:space="preserve"> e non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</w:p>
        </w:tc>
      </w:tr>
      <w:tr>
        <w:trPr/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conoscenza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 xml:space="preserve"> storica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comprensione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esposizione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informazione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(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f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atti,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venti,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f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enomeni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soggetti, spazi)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individuazione di relazioni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puntuale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estesa, 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complessiva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corretta </w:t>
            </w:r>
            <w:r>
              <w:rPr>
                <w:rFonts w:ascii="Calibri" w:hAnsi="Calibri"/>
                <w:sz w:val="20"/>
                <w:szCs w:val="20"/>
              </w:rPr>
              <w:t>ma limitata al contenuto esplicito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sufficientemente corretta, </w:t>
            </w:r>
            <w:r>
              <w:rPr>
                <w:rFonts w:ascii="Calibri" w:hAnsi="Calibri"/>
                <w:sz w:val="20"/>
                <w:szCs w:val="20"/>
              </w:rPr>
              <w:t>superficiale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difficoltosa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ifficoltosa anche con testi facili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appropriat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e precis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appropriat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chiara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abbastanza chiara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poco corretta e generica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non corretta e confusa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pprofondita e sicura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completa e sicura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globale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essenziale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parziale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lacunosa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molto lacunosa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quasi sempre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per lo più pertinent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limitata ad</w:t>
            </w:r>
            <w:r>
              <w:rPr>
                <w:rFonts w:ascii="Calibri" w:hAnsi="Calibri"/>
                <w:sz w:val="20"/>
                <w:szCs w:val="20"/>
              </w:rPr>
              <w:t xml:space="preserve"> alcune (semplici)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limitata 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poche semplici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incert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anche con relazioni</w:t>
            </w:r>
            <w:r>
              <w:rPr>
                <w:rFonts w:ascii="Calibri" w:hAnsi="Calibri"/>
                <w:sz w:val="20"/>
                <w:szCs w:val="20"/>
              </w:rPr>
              <w:t xml:space="preserve"> semplici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molto difficoltosa</w:t>
            </w:r>
          </w:p>
        </w:tc>
      </w:tr>
      <w:tr>
        <w:trPr/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ricerca storica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individuazione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selezione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di fonti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comprensione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uso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rielaborazione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valutazione dell’attendibilità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autonoma e pertinente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pertinente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piuttosto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  <w:t>sufficientemente</w:t>
            </w:r>
            <w:r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guidata e incerta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difficoltosa anche se guidata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completa e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puntuale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  <w:t>estesa, 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complessiva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corretta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ma limitata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sufficientemente corretta,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superficiale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difficoltosa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e solo parziale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d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ifficoltosa anche con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fonti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 w:val="false"/>
                <w:smallCaps w:val="false"/>
                <w:sz w:val="20"/>
                <w:szCs w:val="20"/>
              </w:rPr>
              <w:t>semplici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efficace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piuttosto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produttivo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corretto in diversi casi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abbastanza corretto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sufficientemente corretto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guidato, limitato 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documenti semplici, solo parzialmente corretto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difficoltoso b</w:t>
            </w:r>
            <w:r>
              <w:rPr>
                <w:rFonts w:ascii="Calibri" w:hAnsi="Calibri"/>
                <w:sz w:val="20"/>
                <w:szCs w:val="20"/>
              </w:rPr>
              <w:t xml:space="preserve">enché guidato </w:t>
            </w:r>
            <w:r>
              <w:rPr>
                <w:rFonts w:ascii="Calibri" w:hAnsi="Calibri"/>
                <w:sz w:val="20"/>
                <w:szCs w:val="20"/>
              </w:rPr>
              <w:t xml:space="preserve">e limitato a documenti </w:t>
            </w:r>
            <w:r>
              <w:rPr>
                <w:rFonts w:ascii="Calibri" w:hAnsi="Calibri"/>
                <w:sz w:val="20"/>
                <w:szCs w:val="20"/>
              </w:rPr>
              <w:t>semplici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 xml:space="preserve">efficace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 xml:space="preserve">ordinata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abbastanza chiara 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limitata ad alcune </w:t>
            </w:r>
            <w:r>
              <w:rPr>
                <w:rFonts w:ascii="Calibri" w:hAnsi="Calibri"/>
                <w:sz w:val="20"/>
                <w:szCs w:val="20"/>
              </w:rPr>
              <w:t>informazioni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limitata a poche </w:t>
            </w:r>
            <w:r>
              <w:rPr>
                <w:rFonts w:ascii="Calibri" w:hAnsi="Calibri"/>
                <w:sz w:val="20"/>
                <w:szCs w:val="20"/>
              </w:rPr>
              <w:t>informazioni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approssimativa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confus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autonoma </w:t>
            </w:r>
            <w:r>
              <w:rPr>
                <w:rFonts w:ascii="Calibri" w:hAnsi="Calibri"/>
                <w:sz w:val="20"/>
                <w:szCs w:val="20"/>
              </w:rPr>
              <w:t>e ben argomentata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sicura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 argomentata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limitata a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 xml:space="preserve"> qualche considerazione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limitata</w:t>
            </w:r>
            <w:r>
              <w:rPr>
                <w:rFonts w:ascii="Calibri" w:hAnsi="Calibri"/>
                <w:sz w:val="20"/>
                <w:szCs w:val="20"/>
              </w:rPr>
              <w:t xml:space="preserve"> e semplice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guidata e semplice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solo sollecitata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assente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footerReference w:type="default" r:id="rId2"/>
      <w:type w:val="nextPage"/>
      <w:pgSz w:orient="landscape" w:w="16838" w:h="11906"/>
      <w:pgMar w:left="1134" w:right="1134" w:header="0" w:top="1134" w:footer="1134" w:bottom="16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6</w:t>
    </w:r>
    <w:r>
      <w:rPr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LibreOffice/6.0.7.3$Linux_X86_64 LibreOffice_project/00m0$Build-3</Application>
  <Pages>9</Pages>
  <Words>2964</Words>
  <Characters>18488</Characters>
  <CharactersWithSpaces>21014</CharactersWithSpaces>
  <Paragraphs>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2019-04-01T17:12:46Z</dcterms:created>
  <dc:creator/>
  <dc:description/>
  <dc:language>it-IT</dc:language>
  <cp:lastModifiedBy/>
  <dcterms:modified xsi:type="dcterms:W3CDTF">2019-12-29T11:24:50Z</dcterms:modified>
  <cp:revision>41</cp:revision>
  <dc:subject/>
  <dc:title/>
</cp:coreProperties>
</file>