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4" w:rsidRPr="005B2A32" w:rsidRDefault="005B2A32">
      <w:pPr>
        <w:rPr>
          <w:b/>
          <w:color w:val="FF0000"/>
          <w:u w:val="single"/>
        </w:rPr>
      </w:pPr>
      <w:r w:rsidRPr="005B2A32">
        <w:rPr>
          <w:b/>
          <w:color w:val="FF0000"/>
          <w:u w:val="single"/>
        </w:rPr>
        <w:t xml:space="preserve">INDICE FORMAZIONE DI ISTITUTO SU VALUTAZIONE </w:t>
      </w:r>
    </w:p>
    <w:p w:rsidR="005B2A32" w:rsidRDefault="005B2A32"/>
    <w:p w:rsidR="005B2A32" w:rsidRPr="005B2A32" w:rsidRDefault="005B2A32">
      <w:pPr>
        <w:rPr>
          <w:u w:val="single"/>
        </w:rPr>
      </w:pPr>
      <w:proofErr w:type="gramStart"/>
      <w:r w:rsidRPr="005B2A32">
        <w:rPr>
          <w:u w:val="single"/>
        </w:rPr>
        <w:t>E’</w:t>
      </w:r>
      <w:proofErr w:type="gramEnd"/>
      <w:r w:rsidRPr="005B2A32">
        <w:rPr>
          <w:u w:val="single"/>
        </w:rPr>
        <w:t xml:space="preserve"> divisa in base ai due incontri proposti da USR LIGURIA ai referenti per la valutazione</w:t>
      </w:r>
    </w:p>
    <w:p w:rsidR="005B2A32" w:rsidRDefault="005B2A32"/>
    <w:p w:rsidR="005B2A32" w:rsidRDefault="005B2A32">
      <w:r w:rsidRPr="005B2A32">
        <w:rPr>
          <w:b/>
          <w:u w:val="single"/>
        </w:rPr>
        <w:t>INDICAZIONI DI FORMAZIONE RICAVATI DAL PRIMO INCONTRO</w:t>
      </w:r>
      <w:r>
        <w:t xml:space="preserve"> – aprile 2021 (nel nostro caso può durare anche più incontri)</w:t>
      </w:r>
    </w:p>
    <w:p w:rsidR="005B2A32" w:rsidRDefault="005B2A3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5B2A32" w:rsidTr="005B2A32">
        <w:tc>
          <w:tcPr>
            <w:tcW w:w="2376" w:type="dxa"/>
          </w:tcPr>
          <w:p w:rsidR="005B2A32" w:rsidRDefault="005B2A32">
            <w:r>
              <w:t>1.</w:t>
            </w:r>
          </w:p>
        </w:tc>
        <w:tc>
          <w:tcPr>
            <w:tcW w:w="7402" w:type="dxa"/>
          </w:tcPr>
          <w:p w:rsidR="005B2A32" w:rsidRDefault="005B2A32">
            <w:r>
              <w:t>Alcuni aspetti essenziali della valutazione</w:t>
            </w:r>
          </w:p>
        </w:tc>
      </w:tr>
      <w:tr w:rsidR="005B2A32" w:rsidTr="005B2A32">
        <w:tc>
          <w:tcPr>
            <w:tcW w:w="2376" w:type="dxa"/>
          </w:tcPr>
          <w:p w:rsidR="005B2A32" w:rsidRDefault="005B2A32">
            <w:r>
              <w:t>2.</w:t>
            </w:r>
          </w:p>
        </w:tc>
        <w:tc>
          <w:tcPr>
            <w:tcW w:w="7402" w:type="dxa"/>
          </w:tcPr>
          <w:p w:rsidR="005B2A32" w:rsidRDefault="005B2A32">
            <w:r>
              <w:t>I problemi affrontati a fine I quadrimestre</w:t>
            </w:r>
          </w:p>
        </w:tc>
      </w:tr>
      <w:tr w:rsidR="005B2A32" w:rsidTr="005B2A32">
        <w:tc>
          <w:tcPr>
            <w:tcW w:w="2376" w:type="dxa"/>
          </w:tcPr>
          <w:p w:rsidR="005B2A32" w:rsidRDefault="005B2A32">
            <w:r>
              <w:t>3.</w:t>
            </w:r>
          </w:p>
        </w:tc>
        <w:tc>
          <w:tcPr>
            <w:tcW w:w="7402" w:type="dxa"/>
          </w:tcPr>
          <w:p w:rsidR="005B2A32" w:rsidRDefault="005B2A32">
            <w:r>
              <w:t>I problemi affrontati a fine II quadrimestre</w:t>
            </w:r>
          </w:p>
        </w:tc>
      </w:tr>
      <w:tr w:rsidR="005B2A32" w:rsidTr="005B2A32">
        <w:tc>
          <w:tcPr>
            <w:tcW w:w="2376" w:type="dxa"/>
          </w:tcPr>
          <w:p w:rsidR="005B2A32" w:rsidRDefault="005B2A32">
            <w:r>
              <w:t>4.</w:t>
            </w:r>
          </w:p>
        </w:tc>
        <w:tc>
          <w:tcPr>
            <w:tcW w:w="7402" w:type="dxa"/>
          </w:tcPr>
          <w:p w:rsidR="005B2A32" w:rsidRDefault="005B2A32">
            <w:r>
              <w:t>Problemi rimasti aperti</w:t>
            </w:r>
          </w:p>
        </w:tc>
      </w:tr>
      <w:tr w:rsidR="005B2A32" w:rsidTr="005B2A32">
        <w:tc>
          <w:tcPr>
            <w:tcW w:w="2376" w:type="dxa"/>
          </w:tcPr>
          <w:p w:rsidR="005B2A32" w:rsidRDefault="005B2A32">
            <w:r>
              <w:t>5.</w:t>
            </w:r>
          </w:p>
        </w:tc>
        <w:tc>
          <w:tcPr>
            <w:tcW w:w="7402" w:type="dxa"/>
          </w:tcPr>
          <w:p w:rsidR="005B2A32" w:rsidRDefault="005B2A32">
            <w:r>
              <w:t xml:space="preserve">Primo estratto </w:t>
            </w:r>
            <w:proofErr w:type="spellStart"/>
            <w:r>
              <w:t>webinar</w:t>
            </w:r>
            <w:proofErr w:type="spellEnd"/>
            <w:r>
              <w:t xml:space="preserve"> e riflessioni (obiettivi – livelli – dimensioni)</w:t>
            </w:r>
          </w:p>
        </w:tc>
      </w:tr>
      <w:tr w:rsidR="005B2A32" w:rsidTr="005B2A32">
        <w:tc>
          <w:tcPr>
            <w:tcW w:w="2376" w:type="dxa"/>
          </w:tcPr>
          <w:p w:rsidR="005B2A32" w:rsidRDefault="005B2A32">
            <w:r>
              <w:t>6.</w:t>
            </w:r>
          </w:p>
        </w:tc>
        <w:tc>
          <w:tcPr>
            <w:tcW w:w="7402" w:type="dxa"/>
          </w:tcPr>
          <w:p w:rsidR="005B2A32" w:rsidRDefault="005B2A32">
            <w:r>
              <w:t xml:space="preserve">Secondo estratto </w:t>
            </w:r>
            <w:proofErr w:type="spellStart"/>
            <w:r>
              <w:t>webinar</w:t>
            </w:r>
            <w:proofErr w:type="spellEnd"/>
            <w:r>
              <w:t xml:space="preserve"> e riflessioni (situazioni note – non note)</w:t>
            </w:r>
          </w:p>
        </w:tc>
      </w:tr>
    </w:tbl>
    <w:p w:rsidR="005B2A32" w:rsidRDefault="005B2A32"/>
    <w:p w:rsidR="005B2A32" w:rsidRDefault="005B2A32"/>
    <w:p w:rsidR="005B2A32" w:rsidRDefault="005B2A32" w:rsidP="005B2A32">
      <w:r w:rsidRPr="005B2A32">
        <w:rPr>
          <w:b/>
          <w:u w:val="single"/>
        </w:rPr>
        <w:t xml:space="preserve">INDICAZIONI DI FORMAZIONE RICAVATI DAL </w:t>
      </w:r>
      <w:r w:rsidRPr="005B2A32">
        <w:rPr>
          <w:b/>
          <w:u w:val="single"/>
        </w:rPr>
        <w:t>SECONDO INCONTRO</w:t>
      </w:r>
      <w:r>
        <w:t>-maggio 2021</w:t>
      </w:r>
      <w:r>
        <w:t xml:space="preserve"> (nel nostro caso può durare anche più incontri)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7"/>
        <w:gridCol w:w="7291"/>
      </w:tblGrid>
      <w:tr w:rsidR="005B2A32" w:rsidTr="008B7FBE">
        <w:tc>
          <w:tcPr>
            <w:tcW w:w="2376" w:type="dxa"/>
          </w:tcPr>
          <w:p w:rsidR="005B2A32" w:rsidRDefault="005B2A32" w:rsidP="008B7FBE">
            <w:r>
              <w:t>1.</w:t>
            </w:r>
          </w:p>
        </w:tc>
        <w:tc>
          <w:tcPr>
            <w:tcW w:w="7402" w:type="dxa"/>
          </w:tcPr>
          <w:p w:rsidR="005B2A32" w:rsidRDefault="005B2A32" w:rsidP="005B2A32">
            <w:r>
              <w:t>Analisi di alcuni errori commessi</w:t>
            </w:r>
          </w:p>
        </w:tc>
      </w:tr>
      <w:tr w:rsidR="005B2A32" w:rsidTr="008B7FBE">
        <w:tc>
          <w:tcPr>
            <w:tcW w:w="2376" w:type="dxa"/>
          </w:tcPr>
          <w:p w:rsidR="005B2A32" w:rsidRDefault="005B2A32" w:rsidP="008B7FBE">
            <w:r>
              <w:t>2.</w:t>
            </w:r>
          </w:p>
        </w:tc>
        <w:tc>
          <w:tcPr>
            <w:tcW w:w="7402" w:type="dxa"/>
          </w:tcPr>
          <w:p w:rsidR="005B2A32" w:rsidRDefault="005B2A32" w:rsidP="008B7FBE">
            <w:r>
              <w:t>A cosa prestare attenzione nella stesura del giudizio definitivo</w:t>
            </w:r>
          </w:p>
        </w:tc>
      </w:tr>
      <w:tr w:rsidR="005B2A32" w:rsidTr="008B7FBE">
        <w:tc>
          <w:tcPr>
            <w:tcW w:w="2376" w:type="dxa"/>
          </w:tcPr>
          <w:p w:rsidR="005B2A32" w:rsidRDefault="005B2A32" w:rsidP="008B7FBE">
            <w:r>
              <w:t xml:space="preserve">3. </w:t>
            </w:r>
          </w:p>
        </w:tc>
        <w:tc>
          <w:tcPr>
            <w:tcW w:w="7402" w:type="dxa"/>
          </w:tcPr>
          <w:p w:rsidR="005B2A32" w:rsidRDefault="005B2A32" w:rsidP="008B7FBE">
            <w:r>
              <w:t>Le situazioni non note – il feedback – l’autovalutazione</w:t>
            </w:r>
          </w:p>
        </w:tc>
      </w:tr>
      <w:tr w:rsidR="005B2A32" w:rsidTr="008B7FBE">
        <w:tc>
          <w:tcPr>
            <w:tcW w:w="2376" w:type="dxa"/>
          </w:tcPr>
          <w:p w:rsidR="005B2A32" w:rsidRDefault="005B2A32" w:rsidP="008B7FBE">
            <w:r>
              <w:t>4.</w:t>
            </w:r>
          </w:p>
        </w:tc>
        <w:tc>
          <w:tcPr>
            <w:tcW w:w="7402" w:type="dxa"/>
          </w:tcPr>
          <w:p w:rsidR="005B2A32" w:rsidRDefault="005B2A32" w:rsidP="008B7FBE">
            <w:r>
              <w:t>La formulazione degli obiettivi</w:t>
            </w:r>
          </w:p>
        </w:tc>
      </w:tr>
      <w:tr w:rsidR="005B2A32" w:rsidTr="008B7FBE">
        <w:tc>
          <w:tcPr>
            <w:tcW w:w="2376" w:type="dxa"/>
          </w:tcPr>
          <w:p w:rsidR="005B2A32" w:rsidRDefault="005B2A32" w:rsidP="008B7FBE">
            <w:r>
              <w:t>5.</w:t>
            </w:r>
          </w:p>
        </w:tc>
        <w:tc>
          <w:tcPr>
            <w:tcW w:w="7402" w:type="dxa"/>
          </w:tcPr>
          <w:p w:rsidR="005B2A32" w:rsidRDefault="005B2A32" w:rsidP="008B7FBE">
            <w:r>
              <w:t>Dalla definizione degli obiettivi alla riflessione sulle risorse</w:t>
            </w:r>
          </w:p>
        </w:tc>
      </w:tr>
    </w:tbl>
    <w:p w:rsidR="005B2A32" w:rsidRDefault="005B2A32"/>
    <w:p w:rsidR="005B2A32" w:rsidRDefault="005B2A32"/>
    <w:p w:rsidR="005B2A32" w:rsidRPr="005B2A32" w:rsidRDefault="005B2A32">
      <w:pPr>
        <w:rPr>
          <w:b/>
          <w:u w:val="single"/>
        </w:rPr>
      </w:pPr>
      <w:r w:rsidRPr="005B2A32">
        <w:rPr>
          <w:b/>
          <w:u w:val="single"/>
        </w:rPr>
        <w:t>CONCLUSIONE</w:t>
      </w:r>
    </w:p>
    <w:p w:rsidR="005B2A32" w:rsidRDefault="005B2A32">
      <w:r>
        <w:t>Quali risposte ai problemi rimasti aperti?</w:t>
      </w:r>
      <w:bookmarkStart w:id="0" w:name="_GoBack"/>
      <w:bookmarkEnd w:id="0"/>
    </w:p>
    <w:sectPr w:rsidR="005B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2"/>
    <w:rsid w:val="005B2A32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919D"/>
  <w15:chartTrackingRefBased/>
  <w15:docId w15:val="{6EC8EC2C-5A8C-44E8-8DBE-72BB889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2021-08-12T16:12:00Z</dcterms:created>
  <dcterms:modified xsi:type="dcterms:W3CDTF">2021-08-12T16:30:00Z</dcterms:modified>
</cp:coreProperties>
</file>